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三、三年内驾龄驾驶人交通肇事率</w:t>
      </w:r>
    </w:p>
    <w:bookmarkEnd w:id="0"/>
    <w:tbl>
      <w:tblPr>
        <w:tblStyle w:val="3"/>
        <w:tblW w:w="88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18"/>
        <w:gridCol w:w="2325"/>
        <w:gridCol w:w="1417"/>
        <w:gridCol w:w="1285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领证人数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事故人数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1275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1358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1603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4322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2117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2065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1990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1922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2782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2746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2385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2339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3866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3841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3809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3783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3567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3502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2948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2927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5793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4252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14345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12523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0.01%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80ABE"/>
    <w:rsid w:val="44B8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2026-05-22T08:06:00Z</dcterms:created>
  <dc:creator>张惠锋[拟稿]</dc:creator>
  <cp:lastModifiedBy>张惠锋[拟稿]</cp:lastModifiedBy>
  <dcterms:modified xsi:type="dcterms:W3CDTF">2026-05-22T08:07:41Z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