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6"/>
        <w:rPr>
          <w:rFonts w:hint="eastAsia" w:ascii="黑体" w:eastAsia="黑体"/>
          <w:szCs w:val="32"/>
        </w:rPr>
      </w:pPr>
      <w:bookmarkStart w:id="0" w:name="_GoBack"/>
      <w:r>
        <w:rPr>
          <w:rFonts w:hint="eastAsia" w:ascii="黑体" w:eastAsia="黑体"/>
          <w:szCs w:val="32"/>
        </w:rPr>
        <w:t>三、交通肇事率</w:t>
      </w:r>
    </w:p>
    <w:bookmarkEnd w:id="0"/>
    <w:tbl>
      <w:tblPr>
        <w:tblStyle w:val="3"/>
        <w:tblW w:w="88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718"/>
        <w:gridCol w:w="2325"/>
        <w:gridCol w:w="1417"/>
        <w:gridCol w:w="1285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事故人数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事故率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13000157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晋江荣新驾校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768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13000130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惠安友诚驾校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1327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13000026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永春机动驾校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1663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13000089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洛江万顺驾校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1980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13000046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石狮天安驾校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2339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13000119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台投迅诚驾校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2327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13000113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安溪育民驾校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6847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13000086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南安安信达驾校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5316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13000054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泉州中营驾校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4092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0.02%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D4122"/>
    <w:rsid w:val="551D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2025-05-07T03:08:00Z</dcterms:created>
  <dc:creator>Administrator</dc:creator>
  <cp:lastModifiedBy>Administrator</cp:lastModifiedBy>
  <dcterms:modified xsi:type="dcterms:W3CDTF">2025-05-07T03:09:31Z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