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8786" w:type="dxa"/>
        <w:tblInd w:w="93" w:type="dxa"/>
        <w:tblLayout w:type="autofit"/>
        <w:tblCellMar>
          <w:top w:w="0" w:type="dxa"/>
          <w:left w:w="108" w:type="dxa"/>
          <w:bottom w:w="0" w:type="dxa"/>
          <w:right w:w="108" w:type="dxa"/>
        </w:tblCellMar>
      </w:tblPr>
      <w:tblGrid>
        <w:gridCol w:w="2091"/>
        <w:gridCol w:w="2090"/>
        <w:gridCol w:w="2065"/>
        <w:gridCol w:w="2090"/>
        <w:gridCol w:w="2090"/>
        <w:gridCol w:w="2090"/>
        <w:gridCol w:w="2090"/>
        <w:gridCol w:w="2090"/>
        <w:gridCol w:w="2090"/>
      </w:tblGrid>
      <w:tr>
        <w:tblPrEx>
          <w:tblCellMar>
            <w:top w:w="0" w:type="dxa"/>
            <w:left w:w="108" w:type="dxa"/>
            <w:bottom w:w="0" w:type="dxa"/>
            <w:right w:w="108" w:type="dxa"/>
          </w:tblCellMar>
        </w:tblPrEx>
        <w:trPr>
          <w:gridAfter w:val="5"/>
          <w:wAfter w:w="10450" w:type="dxa"/>
          <w:trHeight w:val="405" w:hRule="atLeast"/>
        </w:trPr>
        <w:tc>
          <w:tcPr>
            <w:tcW w:w="209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6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209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6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540" w:hRule="atLeast"/>
        </w:trPr>
        <w:tc>
          <w:tcPr>
            <w:tcW w:w="8336" w:type="dxa"/>
            <w:gridSpan w:val="4"/>
            <w:tcBorders>
              <w:top w:val="nil"/>
              <w:left w:val="nil"/>
              <w:bottom w:val="nil"/>
              <w:right w:val="nil"/>
            </w:tcBorders>
            <w:shd w:val="clear" w:color="auto" w:fill="auto"/>
            <w:noWrap/>
            <w:vAlign w:val="bottom"/>
          </w:tcPr>
          <w:p>
            <w:pPr>
              <w:widowControl/>
              <w:jc w:val="center"/>
              <w:rPr>
                <w:rFonts w:ascii="宋体" w:hAnsi="宋体" w:eastAsia="宋体" w:cs="宋体"/>
                <w:kern w:val="0"/>
                <w:sz w:val="44"/>
                <w:szCs w:val="44"/>
              </w:rPr>
            </w:pPr>
            <w:r>
              <w:rPr>
                <w:rFonts w:hint="eastAsia" w:ascii="宋体" w:hAnsi="宋体" w:eastAsia="宋体" w:cs="宋体"/>
                <w:kern w:val="0"/>
                <w:sz w:val="44"/>
                <w:szCs w:val="44"/>
              </w:rPr>
              <w:t>2019年度泉州市公安局交通警察支队</w:t>
            </w:r>
          </w:p>
          <w:p>
            <w:pPr>
              <w:widowControl/>
              <w:jc w:val="center"/>
              <w:rPr>
                <w:rFonts w:ascii="宋体" w:hAnsi="宋体" w:eastAsia="宋体" w:cs="宋体"/>
                <w:kern w:val="0"/>
                <w:sz w:val="44"/>
                <w:szCs w:val="44"/>
              </w:rPr>
            </w:pPr>
            <w:r>
              <w:rPr>
                <w:rFonts w:hint="eastAsia" w:ascii="宋体" w:hAnsi="宋体" w:eastAsia="宋体" w:cs="宋体"/>
                <w:kern w:val="0"/>
                <w:sz w:val="44"/>
                <w:szCs w:val="44"/>
              </w:rPr>
              <w:t>及六个直属大队部门预算说明</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根据《泉州市财政局关于下达2019年度市直行政事业单位部门预算的通知》（泉财指标〔2019〕1号）的批复，现将我单位2019年度部门预算说明如下:</w:t>
            </w:r>
          </w:p>
        </w:tc>
      </w:tr>
      <w:tr>
        <w:tblPrEx>
          <w:tblCellMar>
            <w:top w:w="0" w:type="dxa"/>
            <w:left w:w="108" w:type="dxa"/>
            <w:bottom w:w="0" w:type="dxa"/>
            <w:right w:w="108" w:type="dxa"/>
          </w:tblCellMar>
        </w:tblPrEx>
        <w:trPr>
          <w:gridAfter w:val="5"/>
          <w:wAfter w:w="10450" w:type="dxa"/>
          <w:trHeight w:val="405" w:hRule="atLeast"/>
        </w:trPr>
        <w:tc>
          <w:tcPr>
            <w:tcW w:w="4181"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一、部门主要职责</w:t>
            </w:r>
          </w:p>
        </w:tc>
        <w:tc>
          <w:tcPr>
            <w:tcW w:w="206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tcPr>
          <w:p>
            <w:pPr>
              <w:ind w:firstLine="480" w:firstLineChars="150"/>
              <w:rPr>
                <w:rFonts w:ascii="宋体" w:hAnsi="宋体" w:eastAsia="宋体"/>
                <w:sz w:val="32"/>
                <w:szCs w:val="32"/>
              </w:rPr>
            </w:pPr>
            <w:r>
              <w:rPr>
                <w:rFonts w:hint="eastAsia" w:ascii="宋体" w:hAnsi="宋体" w:eastAsia="宋体"/>
                <w:sz w:val="32"/>
                <w:szCs w:val="32"/>
              </w:rPr>
              <w:t>（一）泉州市公安局交通警察支队主要职责:负责组织贯彻实施国家有关道路交通安全管理的法律法规和方针政策，监督全市公安交通管理执法活动，指导全市道路交通安全管理工作，承担市辖区交通管理职能；负责全市交通管理业务培训工作，承担支队机关和各直属机构纪检监察、队伍管理及部门预算、决算编制、开支审核等工作。</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tcPr>
          <w:p>
            <w:pPr>
              <w:ind w:firstLine="480" w:firstLineChars="150"/>
              <w:rPr>
                <w:rFonts w:ascii="宋体" w:hAnsi="宋体" w:eastAsia="宋体"/>
                <w:sz w:val="32"/>
                <w:szCs w:val="32"/>
              </w:rPr>
            </w:pPr>
            <w:r>
              <w:rPr>
                <w:rFonts w:hint="eastAsia" w:ascii="宋体" w:hAnsi="宋体" w:eastAsia="宋体"/>
                <w:sz w:val="32"/>
                <w:szCs w:val="32"/>
              </w:rPr>
              <w:t>（二）泉州市公安局交通警察支队各直属交警大队主要职责:负责贯彻执行公安交通管理法律法规，依法对辖区道路交通安全进行管理；负责辖区道路交通秩序维护、交通违法查处、交通事故预防处理、交通安全宣传、交通安全设施管理，依法履行机动车和驾驶人相关管理等职责；负责指导辖区派出所依法履行交通管理职能。</w:t>
            </w: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二、部门预算单位构成</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从预算单位构成看，</w:t>
            </w:r>
            <w:r>
              <w:rPr>
                <w:rFonts w:hint="eastAsia" w:ascii="宋体" w:hAnsi="宋体" w:eastAsia="宋体"/>
                <w:sz w:val="32"/>
                <w:szCs w:val="32"/>
              </w:rPr>
              <w:t>泉州市公安局交通警察支队</w:t>
            </w:r>
            <w:r>
              <w:rPr>
                <w:rFonts w:hint="eastAsia" w:ascii="宋体" w:hAnsi="宋体" w:eastAsia="宋体" w:cs="宋体"/>
                <w:kern w:val="0"/>
                <w:sz w:val="32"/>
                <w:szCs w:val="32"/>
              </w:rPr>
              <w:t>部门包括16个(含两个临时科室)机关行政处（科）室及7个下属单位，其中：列入2019年部门预算编制范围的单位详细情况见下表:</w:t>
            </w:r>
          </w:p>
        </w:tc>
      </w:tr>
      <w:tr>
        <w:tblPrEx>
          <w:tblCellMar>
            <w:top w:w="0" w:type="dxa"/>
            <w:left w:w="108" w:type="dxa"/>
            <w:bottom w:w="0" w:type="dxa"/>
            <w:right w:w="108" w:type="dxa"/>
          </w:tblCellMar>
        </w:tblPrEx>
        <w:trPr>
          <w:gridAfter w:val="5"/>
          <w:wAfter w:w="10450" w:type="dxa"/>
          <w:trHeight w:val="405" w:hRule="atLeast"/>
        </w:trPr>
        <w:tc>
          <w:tcPr>
            <w:tcW w:w="2091"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单位名称</w:t>
            </w:r>
          </w:p>
        </w:tc>
        <w:tc>
          <w:tcPr>
            <w:tcW w:w="209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经费性质</w:t>
            </w:r>
          </w:p>
        </w:tc>
        <w:tc>
          <w:tcPr>
            <w:tcW w:w="2065"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人员编制数</w:t>
            </w:r>
          </w:p>
        </w:tc>
        <w:tc>
          <w:tcPr>
            <w:tcW w:w="209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在职人数</w:t>
            </w:r>
          </w:p>
        </w:tc>
      </w:tr>
      <w:tr>
        <w:tblPrEx>
          <w:tblCellMar>
            <w:top w:w="0" w:type="dxa"/>
            <w:left w:w="108" w:type="dxa"/>
            <w:bottom w:w="0" w:type="dxa"/>
            <w:right w:w="108" w:type="dxa"/>
          </w:tblCellMar>
        </w:tblPrEx>
        <w:trPr>
          <w:gridAfter w:val="5"/>
          <w:wAfter w:w="10450" w:type="dxa"/>
          <w:trHeight w:val="405" w:hRule="atLeast"/>
        </w:trPr>
        <w:tc>
          <w:tcPr>
            <w:tcW w:w="2091"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泉州公安 局交通警察支队</w:t>
            </w:r>
          </w:p>
        </w:tc>
        <w:tc>
          <w:tcPr>
            <w:tcW w:w="20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行政</w:t>
            </w:r>
          </w:p>
        </w:tc>
        <w:tc>
          <w:tcPr>
            <w:tcW w:w="206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531</w:t>
            </w:r>
          </w:p>
        </w:tc>
        <w:tc>
          <w:tcPr>
            <w:tcW w:w="2090"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523</w:t>
            </w:r>
          </w:p>
        </w:tc>
      </w:tr>
      <w:tr>
        <w:tblPrEx>
          <w:tblCellMar>
            <w:top w:w="0" w:type="dxa"/>
            <w:left w:w="108" w:type="dxa"/>
            <w:bottom w:w="0" w:type="dxa"/>
            <w:right w:w="108" w:type="dxa"/>
          </w:tblCellMar>
        </w:tblPrEx>
        <w:trPr>
          <w:gridAfter w:val="1"/>
          <w:wAfter w:w="209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三、部门主要工作任务</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r>
      <w:tr>
        <w:tblPrEx>
          <w:tblCellMar>
            <w:top w:w="0" w:type="dxa"/>
            <w:left w:w="108" w:type="dxa"/>
            <w:bottom w:w="0" w:type="dxa"/>
            <w:right w:w="108" w:type="dxa"/>
          </w:tblCellMar>
        </w:tblPrEx>
        <w:trPr>
          <w:trHeight w:val="405" w:hRule="atLeast"/>
        </w:trPr>
        <w:tc>
          <w:tcPr>
            <w:tcW w:w="8336" w:type="dxa"/>
            <w:gridSpan w:val="4"/>
            <w:tcBorders>
              <w:top w:val="nil"/>
              <w:left w:val="nil"/>
              <w:bottom w:val="nil"/>
              <w:right w:val="nil"/>
            </w:tcBorders>
            <w:shd w:val="clear" w:color="auto" w:fill="auto"/>
            <w:noWrap/>
            <w:vAlign w:val="bottom"/>
          </w:tcPr>
          <w:p>
            <w:pPr>
              <w:adjustRightInd w:val="0"/>
              <w:snapToGrid w:val="0"/>
              <w:spacing w:line="600" w:lineRule="exact"/>
              <w:ind w:firstLine="640" w:firstLineChars="200"/>
              <w:rPr>
                <w:rFonts w:ascii="仿宋_GB2312" w:eastAsia="仿宋_GB2312"/>
                <w:sz w:val="32"/>
                <w:szCs w:val="32"/>
              </w:rPr>
            </w:pPr>
            <w:r>
              <w:rPr>
                <w:rFonts w:hint="eastAsia" w:ascii="宋体" w:hAnsi="宋体" w:eastAsia="宋体" w:cs="宋体"/>
                <w:kern w:val="0"/>
                <w:sz w:val="32"/>
                <w:szCs w:val="32"/>
              </w:rPr>
              <w:t>2019年，</w:t>
            </w:r>
            <w:r>
              <w:rPr>
                <w:rFonts w:hint="eastAsia" w:ascii="宋体" w:hAnsi="宋体" w:eastAsia="宋体"/>
                <w:sz w:val="32"/>
                <w:szCs w:val="32"/>
              </w:rPr>
              <w:t>泉州市公安局交通警察支队及六个直属交警大队</w:t>
            </w:r>
            <w:r>
              <w:rPr>
                <w:rFonts w:hint="eastAsia" w:ascii="宋体" w:hAnsi="宋体" w:eastAsia="宋体" w:cs="宋体"/>
                <w:kern w:val="0"/>
                <w:sz w:val="32"/>
                <w:szCs w:val="32"/>
              </w:rPr>
              <w:t>部门主要任务是：</w:t>
            </w:r>
            <w:r>
              <w:rPr>
                <w:rFonts w:hint="eastAsia" w:ascii="宋体" w:hAnsi="宋体" w:eastAsia="宋体"/>
                <w:sz w:val="32"/>
                <w:szCs w:val="32"/>
              </w:rPr>
              <w:t>继续以习近平新时代中国特色社会主义思想和党的十九大精神为引领，坚持以人民发展为中心，坚持以问题为导向，围绕“保安全、少死人，保畅通、少拥堵，促公正、少投诉”这一目标，以《福建省党政领导干部安全生产责任制实施细则》实施为契机，继续发挥好“道安平台”和“综治平台”两大平台，着力大数据研判交通、互联网宣传交通、物联网服务交通三个创新，着力提升新时代队伍综合管理、现代化交通安全治理、城市文明交通、窗口服务四大水平，解决交警队伍不适应问题、农村交通安全薄弱问题、城市交通乱象问题、服务群众“最后一公里”问题、交警付出与社会回报不对称问题五大重点，争取实现降事故、少死人，秩序好、堵情少，满意度高、投诉少的预定目标。</w:t>
            </w:r>
            <w:r>
              <w:rPr>
                <w:rFonts w:hint="eastAsia" w:ascii="宋体" w:hAnsi="宋体" w:eastAsia="宋体" w:cs="宋体"/>
                <w:kern w:val="0"/>
                <w:sz w:val="32"/>
                <w:szCs w:val="32"/>
              </w:rPr>
              <w:t>围绕上述任务，重点抓好以下工作：</w:t>
            </w:r>
          </w:p>
        </w:tc>
        <w:tc>
          <w:tcPr>
            <w:tcW w:w="2090" w:type="dxa"/>
          </w:tcPr>
          <w:p>
            <w:pPr>
              <w:widowControl/>
              <w:jc w:val="left"/>
            </w:pP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c>
          <w:tcPr>
            <w:tcW w:w="2090" w:type="dxa"/>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tcPr>
          <w:p>
            <w:pPr>
              <w:adjustRightInd w:val="0"/>
              <w:snapToGrid w:val="0"/>
              <w:spacing w:line="600" w:lineRule="exact"/>
              <w:ind w:firstLine="320" w:firstLineChars="100"/>
              <w:rPr>
                <w:rFonts w:ascii="宋体" w:hAnsi="宋体" w:eastAsia="宋体"/>
                <w:sz w:val="32"/>
                <w:szCs w:val="32"/>
              </w:rPr>
            </w:pPr>
            <w:r>
              <w:rPr>
                <w:rFonts w:hint="eastAsia" w:ascii="宋体" w:hAnsi="宋体" w:eastAsia="宋体"/>
                <w:sz w:val="32"/>
                <w:szCs w:val="32"/>
              </w:rPr>
              <w:t>（一）围绕一个目标。以习近平新时代中国特色社会主义思想和党的十九大精神为引领，围绕“保安全、少死人，保畅通、少拥堵，促公正、少投诉”这一目标，坚持稳字当头、稳中求进的总基调，着力锻造最忠诚的公安交警队伍、践行最牢固的为民服务宗旨、营造最公正的交管法治环境、展示最良好的城市交通形象，以更加安全、更加畅通、更加文明的道路交通环境为“五个泉州”建设作出新的贡献。</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tcPr>
          <w:p>
            <w:pPr>
              <w:adjustRightInd w:val="0"/>
              <w:snapToGrid w:val="0"/>
              <w:spacing w:line="600" w:lineRule="exact"/>
              <w:ind w:firstLine="320" w:firstLineChars="100"/>
              <w:rPr>
                <w:rFonts w:ascii="宋体" w:hAnsi="宋体" w:eastAsia="宋体"/>
                <w:sz w:val="32"/>
                <w:szCs w:val="32"/>
              </w:rPr>
            </w:pPr>
            <w:r>
              <w:rPr>
                <w:rFonts w:hint="eastAsia" w:ascii="宋体" w:hAnsi="宋体" w:eastAsia="宋体"/>
                <w:sz w:val="32"/>
                <w:szCs w:val="32"/>
              </w:rPr>
              <w:t>（二）发挥两个平台。以《福建省党政领导干部安全生产责任制实施细则》实施为契机，继续发挥好“道安平台”和“综治平台”作用，抓实道安问责和综治责任督导措施，把公安交通管理工作中需要协调的重要事项、需要解决的棘手问题、需要推进的重点工作，通过这些平台去实现、解决和完成，进一步推动形成“政府主导、公安搭台、部门协作”的道路交通安全社会综合治理局面。</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tcPr>
          <w:p>
            <w:pPr>
              <w:adjustRightInd w:val="0"/>
              <w:snapToGrid w:val="0"/>
              <w:spacing w:line="600" w:lineRule="exact"/>
              <w:ind w:firstLine="320" w:firstLineChars="100"/>
              <w:rPr>
                <w:rFonts w:ascii="宋体" w:hAnsi="宋体" w:eastAsia="宋体"/>
                <w:b/>
                <w:sz w:val="32"/>
                <w:szCs w:val="32"/>
              </w:rPr>
            </w:pPr>
            <w:r>
              <w:rPr>
                <w:rFonts w:hint="eastAsia" w:ascii="宋体" w:hAnsi="宋体" w:eastAsia="宋体"/>
                <w:sz w:val="32"/>
                <w:szCs w:val="32"/>
              </w:rPr>
              <w:t>（三）着力三个创新。</w:t>
            </w:r>
            <w:r>
              <w:rPr>
                <w:rFonts w:hint="eastAsia" w:ascii="宋体" w:hAnsi="宋体" w:eastAsia="宋体"/>
                <w:b/>
                <w:sz w:val="32"/>
                <w:szCs w:val="32"/>
              </w:rPr>
              <w:t>一是创新用大数据研判交通。</w:t>
            </w:r>
            <w:r>
              <w:rPr>
                <w:rFonts w:hint="eastAsia" w:ascii="宋体" w:hAnsi="宋体" w:eastAsia="宋体"/>
                <w:sz w:val="32"/>
                <w:szCs w:val="32"/>
              </w:rPr>
              <w:t>依托“智慧泉州”建设，注重科技应用创新，不断整合信息资源，实现部门信息共享。运用交通大数据中心、高清高点无线视频、警情警员警车定位、信息通讯网络、核心业务平台、基础应用系统等功能和技术，精准分析研判、辅助决策，进一步提升交通管理水平。</w:t>
            </w:r>
            <w:r>
              <w:rPr>
                <w:rFonts w:hint="eastAsia" w:ascii="宋体" w:hAnsi="宋体" w:eastAsia="宋体"/>
                <w:b/>
                <w:sz w:val="32"/>
                <w:szCs w:val="32"/>
              </w:rPr>
              <w:t>二是创新用互联网宣传交通。</w:t>
            </w:r>
            <w:r>
              <w:rPr>
                <w:rFonts w:hint="eastAsia" w:ascii="宋体" w:hAnsi="宋体" w:eastAsia="宋体"/>
                <w:sz w:val="32"/>
                <w:szCs w:val="32"/>
              </w:rPr>
              <w:t>加强与互联网企业的数据共享，完善公安交警“双微”平台建设，运用互联网开展交通安全警示教育、以案说法教育、倡导文明交通从我做起教育。利用手机短信平台、电视广播、官方网站、手机应用软件等向重点车辆驾驶人、农村地区驾驶人、私家车所有人和重点单位、企业法人及村镇安全管理员推送车驾管服务信息、违法信息告知和恶劣天气预警、节假日出行提示、重点活动宣传等交通安全提示。</w:t>
            </w:r>
            <w:r>
              <w:rPr>
                <w:rFonts w:hint="eastAsia" w:ascii="宋体" w:hAnsi="宋体" w:eastAsia="宋体"/>
                <w:b/>
                <w:sz w:val="32"/>
                <w:szCs w:val="32"/>
              </w:rPr>
              <w:t>三是创新用物联网服务交通。</w:t>
            </w:r>
            <w:r>
              <w:rPr>
                <w:rFonts w:hint="eastAsia" w:ascii="宋体" w:hAnsi="宋体" w:eastAsia="宋体"/>
                <w:sz w:val="32"/>
                <w:szCs w:val="32"/>
              </w:rPr>
              <w:t>加快推进集智能化识别、定位、跟踪、监控、管理和服务为一体的智能交通系统建设，创新利用物联网服务交通流检测、交通电视监视、交通信号控制、交通违法抓拍、交通诱导及现场交通执法，不断提升交通管理信息化水平。</w:t>
            </w: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四、预算收支总体情况</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ind w:firstLine="630"/>
              <w:jc w:val="left"/>
              <w:rPr>
                <w:rFonts w:ascii="宋体" w:hAnsi="宋体" w:eastAsia="宋体" w:cs="宋体"/>
                <w:kern w:val="0"/>
                <w:sz w:val="32"/>
                <w:szCs w:val="32"/>
              </w:rPr>
            </w:pPr>
            <w:r>
              <w:rPr>
                <w:rFonts w:hint="eastAsia" w:ascii="宋体" w:hAnsi="宋体" w:eastAsia="宋体" w:cs="宋体"/>
                <w:kern w:val="0"/>
                <w:sz w:val="32"/>
                <w:szCs w:val="32"/>
              </w:rPr>
              <w:t>按照综合预算的原则，部门所有收入和支出均纳入部门预算管理。2019年,泉州市公安局交警支队及六个直属大队部门收入预算为33911.81万元，比上年下降1219.91万元，主要原因是“放管服”以来，电子监控抓拍以违法地为主，部分直属大队电子监控建设少，罚没款收入也就相对减少。其中：一般公共预算拨款31128.01万元，基金预算财政拨款0万元,财政专户拨款0万元,其他收入30万元,单位结余结转资金2753.8万元。相应安排支出预算33911.81万元，比上年下降1219.91万元，其中：人员支出8169.34万元，公用支出1812.89万元，项目支出23929.58万元。</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五、一般公共预算拨款支出情况</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2019年度一般公共预算拨款支出31128.01万元，比上年减少91.07万元，主要原因是项目预算经费减少，上年资金结余结转，主要支出项目(按项级科目分类统计)包括：</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（一）</w:t>
            </w:r>
            <w:r>
              <w:rPr>
                <w:rFonts w:hint="eastAsia" w:ascii="宋体" w:hAnsi="宋体" w:eastAsia="宋体" w:cs="宋体"/>
                <w:kern w:val="0"/>
                <w:sz w:val="32"/>
                <w:szCs w:val="32"/>
                <w:lang w:eastAsia="zh-CN"/>
              </w:rPr>
              <w:t>行政运行</w:t>
            </w:r>
            <w:r>
              <w:rPr>
                <w:rFonts w:hint="eastAsia" w:ascii="宋体" w:hAnsi="宋体" w:eastAsia="宋体" w:cs="宋体"/>
                <w:kern w:val="0"/>
                <w:sz w:val="32"/>
                <w:szCs w:val="32"/>
                <w:lang w:val="en-US" w:eastAsia="zh-CN"/>
              </w:rPr>
              <w:t>8489.42万元</w:t>
            </w:r>
            <w:r>
              <w:rPr>
                <w:rFonts w:hint="eastAsia" w:ascii="宋体" w:hAnsi="宋体" w:eastAsia="宋体" w:cs="宋体"/>
                <w:kern w:val="0"/>
                <w:sz w:val="32"/>
                <w:szCs w:val="32"/>
              </w:rPr>
              <w:t>。主要用于</w:t>
            </w:r>
            <w:r>
              <w:rPr>
                <w:rFonts w:hint="eastAsia" w:ascii="宋体" w:hAnsi="宋体" w:eastAsia="宋体" w:cs="宋体"/>
                <w:kern w:val="0"/>
                <w:sz w:val="32"/>
                <w:szCs w:val="32"/>
                <w:lang w:val="en-US" w:eastAsia="zh-CN"/>
              </w:rPr>
              <w:t>主要用于工资福利支出、对个人和家庭补助支出、在职人员综合定额公用经费支出、工会经费支出。</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hint="default" w:ascii="宋体" w:hAnsi="宋体" w:eastAsia="宋体" w:cs="宋体"/>
                <w:kern w:val="0"/>
                <w:sz w:val="32"/>
                <w:szCs w:val="32"/>
                <w:lang w:val="en-US" w:eastAsia="zh-CN"/>
              </w:rPr>
            </w:pPr>
            <w:r>
              <w:rPr>
                <w:rFonts w:hint="eastAsia" w:ascii="宋体" w:hAnsi="宋体" w:eastAsia="宋体" w:cs="宋体"/>
                <w:kern w:val="0"/>
                <w:sz w:val="32"/>
                <w:szCs w:val="32"/>
              </w:rPr>
              <w:t xml:space="preserve">    （二）</w:t>
            </w:r>
            <w:r>
              <w:rPr>
                <w:rFonts w:hint="eastAsia" w:ascii="宋体" w:hAnsi="宋体" w:eastAsia="宋体" w:cs="宋体"/>
                <w:kern w:val="0"/>
                <w:sz w:val="32"/>
                <w:szCs w:val="32"/>
                <w:lang w:eastAsia="zh-CN"/>
              </w:rPr>
              <w:t>一般行政管理事务</w:t>
            </w:r>
            <w:r>
              <w:rPr>
                <w:rFonts w:hint="eastAsia" w:ascii="宋体" w:hAnsi="宋体" w:eastAsia="宋体" w:cs="宋体"/>
                <w:kern w:val="0"/>
                <w:sz w:val="32"/>
                <w:szCs w:val="32"/>
                <w:lang w:val="en-US" w:eastAsia="zh-CN"/>
              </w:rPr>
              <w:t>21239.7万元。主要用于项目建设，如PPP项目、车驾管成本性支出、行政性收费成本支出等。</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numPr>
                <w:ilvl w:val="0"/>
                <w:numId w:val="1"/>
              </w:numPr>
              <w:ind w:left="640" w:leftChars="0" w:firstLine="0" w:firstLineChars="0"/>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eastAsia="zh-CN"/>
              </w:rPr>
              <w:t>一般行政管理事务（国家安全）</w:t>
            </w:r>
            <w:r>
              <w:rPr>
                <w:rFonts w:hint="eastAsia" w:ascii="宋体" w:hAnsi="宋体" w:eastAsia="宋体" w:cs="宋体"/>
                <w:kern w:val="0"/>
                <w:sz w:val="32"/>
                <w:szCs w:val="32"/>
                <w:lang w:val="en-US" w:eastAsia="zh-CN"/>
              </w:rPr>
              <w:t>30万元。主要用于国家安全支出。</w:t>
            </w:r>
          </w:p>
          <w:p>
            <w:pPr>
              <w:widowControl/>
              <w:numPr>
                <w:ilvl w:val="0"/>
                <w:numId w:val="1"/>
              </w:numPr>
              <w:ind w:left="640" w:leftChars="0" w:firstLine="0" w:firstLineChars="0"/>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未归口管理的行政单位离退休46.2万元，主要用于机关离退休人员工资福利项目支出。</w:t>
            </w:r>
          </w:p>
          <w:p>
            <w:pPr>
              <w:widowControl/>
              <w:numPr>
                <w:ilvl w:val="0"/>
                <w:numId w:val="1"/>
              </w:numPr>
              <w:ind w:left="640" w:leftChars="0" w:firstLine="0" w:firstLineChars="0"/>
              <w:jc w:val="left"/>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机关事业单位基本养老保险缴费支出814.24万元，主要用于机关基本养老保险支出。</w:t>
            </w:r>
          </w:p>
          <w:p>
            <w:pPr>
              <w:widowControl/>
              <w:numPr>
                <w:ilvl w:val="0"/>
                <w:numId w:val="1"/>
              </w:numPr>
              <w:ind w:left="640" w:leftChars="0" w:firstLine="0" w:firstLineChars="0"/>
              <w:jc w:val="left"/>
              <w:rPr>
                <w:rFonts w:hint="default"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行政单位医疗支出508.45万元。主要用于行政单位医疗支出。</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六、政府性基金预算拨款支出情况</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本单位2019年度没有使用政府性基金预算拨款安排的支出。</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七、财政拨款预算基本支出情况</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2019年度财政拨款基本支出9858.31万元，其中：</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（一）人员经费8047.1万元。</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（二）公用经费1811.21万元。</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八、一般公共预算“三公”经费支出情况</w:t>
            </w: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（一）因公出国（境）经费</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ind w:firstLine="480" w:firstLineChars="150"/>
              <w:jc w:val="left"/>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2019年无因公出国（境）预算安排</w:t>
            </w:r>
            <w:r>
              <w:rPr>
                <w:rFonts w:hint="eastAsia" w:ascii="宋体" w:hAnsi="宋体" w:eastAsia="宋体" w:cs="宋体"/>
                <w:kern w:val="0"/>
                <w:sz w:val="32"/>
                <w:szCs w:val="32"/>
                <w:lang w:val="en-US" w:eastAsia="zh-CN"/>
              </w:rPr>
              <w:t>, 与去年持平。</w:t>
            </w:r>
            <w:bookmarkStart w:id="0" w:name="_GoBack"/>
            <w:bookmarkEnd w:id="0"/>
          </w:p>
        </w:tc>
      </w:tr>
      <w:tr>
        <w:tblPrEx>
          <w:tblCellMar>
            <w:top w:w="0" w:type="dxa"/>
            <w:left w:w="108" w:type="dxa"/>
            <w:bottom w:w="0" w:type="dxa"/>
            <w:right w:w="108" w:type="dxa"/>
          </w:tblCellMar>
        </w:tblPrEx>
        <w:trPr>
          <w:gridAfter w:val="5"/>
          <w:wAfter w:w="10450" w:type="dxa"/>
          <w:trHeight w:val="405" w:hRule="atLeast"/>
        </w:trPr>
        <w:tc>
          <w:tcPr>
            <w:tcW w:w="4181"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（二）公务接待费</w:t>
            </w:r>
          </w:p>
        </w:tc>
        <w:tc>
          <w:tcPr>
            <w:tcW w:w="206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2019年预算安排25.5万元。主要用于上级或外单位业务检查、指导、督导等方面的接待活动。与上年相比支出下降</w:t>
            </w:r>
            <w:r>
              <w:rPr>
                <w:rFonts w:hint="eastAsia" w:ascii="宋体" w:hAnsi="宋体" w:eastAsia="宋体" w:cs="宋体"/>
                <w:color w:val="000000" w:themeColor="text1"/>
                <w:kern w:val="0"/>
                <w:sz w:val="32"/>
                <w:szCs w:val="32"/>
              </w:rPr>
              <w:t>10</w:t>
            </w:r>
            <w:r>
              <w:rPr>
                <w:rFonts w:hint="eastAsia" w:ascii="宋体" w:hAnsi="宋体" w:eastAsia="宋体" w:cs="宋体"/>
                <w:kern w:val="0"/>
                <w:sz w:val="32"/>
                <w:szCs w:val="32"/>
              </w:rPr>
              <w:t>%，主要原因是:我支队坚决贯彻中央“八项规定”、《党政机关厉行节约，反对浪费条例》；提倡节约，坚持从严从简，降低公务活动成本；坚持总量控制，科学设定相关校准；坚持实事求是、公开透明，自觉接受各方面监督。</w:t>
            </w: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（三）公务用车购置及运行费</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2019年预算安排668.5万元，其中：公车运行费457.3万元，公车购置费211.2万元。与上年相比支出下降</w:t>
            </w:r>
            <w:r>
              <w:rPr>
                <w:rFonts w:hint="eastAsia" w:ascii="宋体" w:hAnsi="宋体" w:eastAsia="宋体" w:cs="宋体"/>
                <w:color w:val="000000" w:themeColor="text1"/>
                <w:kern w:val="0"/>
                <w:sz w:val="32"/>
                <w:szCs w:val="32"/>
              </w:rPr>
              <w:t>28</w:t>
            </w:r>
            <w:r>
              <w:rPr>
                <w:rFonts w:hint="eastAsia" w:ascii="宋体" w:hAnsi="宋体" w:eastAsia="宋体" w:cs="宋体"/>
                <w:kern w:val="0"/>
                <w:sz w:val="32"/>
                <w:szCs w:val="32"/>
              </w:rPr>
              <w:t>%，主要原因是:执法执勤老旧破损车辆逐渐报废更新，运行维护费用相对减少。</w:t>
            </w: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九、其他重要事项说明</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（一）机关运行经费</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2019年泉州市公安局交通警察支队及六个直属大队部门（含实行公务员管理的事业单位）一般公共预算拨款安排的机关运行经费支出1811.21万元，比2018年增加23.83万元，主要原因是人员增加，运行经费相对增加。</w:t>
            </w: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（二）政府采购情况</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2019年泉州市公安局交通警察支队及六个直属大队部门政府采购预算总额8437.16万元，其中：政府购买服务项目采购预算额20万元。</w:t>
            </w: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（三）国有资产占用使用情况</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ind w:firstLine="660"/>
              <w:jc w:val="left"/>
              <w:rPr>
                <w:rFonts w:ascii="宋体" w:hAnsi="宋体" w:eastAsia="宋体" w:cs="宋体"/>
                <w:color w:val="000000" w:themeColor="text1"/>
                <w:kern w:val="0"/>
                <w:sz w:val="32"/>
                <w:szCs w:val="32"/>
              </w:rPr>
            </w:pPr>
            <w:r>
              <w:rPr>
                <w:rFonts w:hint="eastAsia" w:ascii="宋体" w:hAnsi="宋体" w:eastAsia="宋体" w:cs="宋体"/>
                <w:color w:val="000000" w:themeColor="text1"/>
                <w:kern w:val="0"/>
                <w:sz w:val="32"/>
                <w:szCs w:val="32"/>
              </w:rPr>
              <w:t>截至2018年底，泉州市公安局交通警察支队及六个直属大队部门本级及所属的预算单位共有车辆119辆，其中：省部级领导干部用车0辆，一般公务用车8辆，一般执法执勤用车69辆，特种专业技术用车42辆，其他用车0辆。单位价值50万元以上通用设备0台（套），单位价值100万元以上专用设备0台（套）。</w:t>
            </w:r>
          </w:p>
          <w:p>
            <w:pPr>
              <w:widowControl/>
              <w:ind w:firstLine="660"/>
              <w:jc w:val="left"/>
              <w:rPr>
                <w:rFonts w:ascii="宋体" w:hAnsi="宋体" w:eastAsia="宋体" w:cs="宋体"/>
                <w:kern w:val="0"/>
                <w:sz w:val="32"/>
                <w:szCs w:val="32"/>
              </w:rPr>
            </w:pPr>
            <w:r>
              <w:rPr>
                <w:rFonts w:hint="eastAsia" w:ascii="宋体" w:hAnsi="宋体" w:eastAsia="宋体" w:cs="宋体"/>
                <w:kern w:val="0"/>
                <w:sz w:val="32"/>
                <w:szCs w:val="32"/>
              </w:rPr>
              <w:t>（四）绩效目标设置情况</w:t>
            </w:r>
          </w:p>
          <w:p>
            <w:pPr>
              <w:widowControl/>
              <w:ind w:firstLine="660"/>
              <w:jc w:val="left"/>
              <w:rPr>
                <w:rFonts w:ascii="宋体" w:hAnsi="宋体" w:eastAsia="宋体" w:cs="宋体"/>
                <w:color w:val="000000" w:themeColor="text1"/>
                <w:kern w:val="0"/>
                <w:sz w:val="32"/>
                <w:szCs w:val="32"/>
              </w:rPr>
            </w:pPr>
            <w:r>
              <w:rPr>
                <w:rFonts w:hint="eastAsia" w:ascii="宋体" w:hAnsi="宋体" w:eastAsia="宋体" w:cs="宋体"/>
                <w:kern w:val="0"/>
                <w:sz w:val="32"/>
                <w:szCs w:val="32"/>
              </w:rPr>
              <w:t>2019年泉州市公安局交通警察支队及六个直属大队部门共设置绩效目标</w:t>
            </w:r>
            <w:r>
              <w:rPr>
                <w:rFonts w:hint="eastAsia" w:ascii="宋体" w:hAnsi="宋体" w:eastAsia="宋体" w:cs="宋体"/>
                <w:kern w:val="0"/>
                <w:sz w:val="32"/>
                <w:szCs w:val="32"/>
                <w:lang w:val="en-US" w:eastAsia="zh-CN"/>
              </w:rPr>
              <w:t>1</w:t>
            </w:r>
            <w:r>
              <w:rPr>
                <w:rFonts w:hint="eastAsia" w:ascii="宋体" w:hAnsi="宋体" w:eastAsia="宋体" w:cs="宋体"/>
                <w:kern w:val="0"/>
                <w:sz w:val="32"/>
                <w:szCs w:val="32"/>
              </w:rPr>
              <w:t>个，涉及财政拨款资金19000万元。</w:t>
            </w:r>
          </w:p>
        </w:tc>
      </w:tr>
      <w:tr>
        <w:tblPrEx>
          <w:tblCellMar>
            <w:top w:w="0" w:type="dxa"/>
            <w:left w:w="108" w:type="dxa"/>
            <w:bottom w:w="0" w:type="dxa"/>
            <w:right w:w="108" w:type="dxa"/>
          </w:tblCellMar>
        </w:tblPrEx>
        <w:trPr>
          <w:gridAfter w:val="5"/>
          <w:wAfter w:w="10450" w:type="dxa"/>
          <w:trHeight w:val="405" w:hRule="atLeast"/>
        </w:trPr>
        <w:tc>
          <w:tcPr>
            <w:tcW w:w="4181" w:type="dxa"/>
            <w:gridSpan w:val="2"/>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十、名词解释</w:t>
            </w:r>
          </w:p>
        </w:tc>
        <w:tc>
          <w:tcPr>
            <w:tcW w:w="206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1.财政拨款收入：指财政当年拨付的资金。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2.事业收入：指事业单位开展专业业务活动及辅助活动所取得的收入。</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3.经营收入：指事业单位在专业业务活动及其辅助活动之外开展非独立核算经营活动取得的收入。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4.其他收入：指除上述“财政拨款收入”、“事业收入”、“经营收入”等以外的收入。主要是按规定动用的售房收入、存款利息收入等。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6.年初结转和结余：指以前年度尚未完成、结转到本年按有关规定继续使用的资金。</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7.结余分配：指事业单位按规定提取的职工福利基金、事业基金和缴纳的所得税，以及建设单位按规定应交回的基本建设竣工项目结余资金。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8.年末结转和结余：指本年度或以前年度预算安排、因客观条件发生变化无法按原计划实施，需延迟到以后年度按有关规定继续使用的资金。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9.基本支出：指为保障机构正常运转、完成日常工作任务而发生的人员支出和公用支出。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10.项目支出：指在基本支出之外为完成特定行政任务和事业发展目标所发生的支出。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11.经营支出：指事业单位在专业业务活动及其辅助活动之外开展非独立核算经营活动发生的支出。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12.“三公”经费：纳入财政预决算管理的“三公”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费(含车辆购置税、牌照费)及燃料费、维修费、过桥过路费、保险费、安全奖励费用等支出，公务用车指车改后单位按规定保留的用于履行公务的机动车辆，包括领导干部用车、一般公务用车和执法执勤用车等；公务接待费反映单位按规定开支的各类公务接待（含外宾接待）支出。 </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tc>
      </w:tr>
      <w:tr>
        <w:tblPrEx>
          <w:tblCellMar>
            <w:top w:w="0" w:type="dxa"/>
            <w:left w:w="108" w:type="dxa"/>
            <w:bottom w:w="0" w:type="dxa"/>
            <w:right w:w="108" w:type="dxa"/>
          </w:tblCellMar>
        </w:tblPrEx>
        <w:trPr>
          <w:gridAfter w:val="5"/>
          <w:wAfter w:w="10450" w:type="dxa"/>
          <w:trHeight w:val="405" w:hRule="atLeast"/>
        </w:trPr>
        <w:tc>
          <w:tcPr>
            <w:tcW w:w="2091"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65"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附表：1.2019年度收支预算表</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2. 2019年度收入预算表</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6246" w:type="dxa"/>
            <w:gridSpan w:val="3"/>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3. 2019年度支出预算表</w:t>
            </w:r>
          </w:p>
        </w:tc>
        <w:tc>
          <w:tcPr>
            <w:tcW w:w="2090" w:type="dxa"/>
            <w:tcBorders>
              <w:top w:val="nil"/>
              <w:left w:val="nil"/>
              <w:bottom w:val="nil"/>
              <w:right w:val="nil"/>
            </w:tcBorders>
            <w:shd w:val="clear" w:color="auto" w:fill="auto"/>
            <w:noWrap/>
            <w:vAlign w:val="bottom"/>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4. 2019年度财政拨款收支预算表</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5. 2019年度一般公共预算拨款支出预算表</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6. 2019年度政府性基金拨款支出预算表</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7. 2019年度一般公共预算支出经济分类情况表</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8. 2019年度一般公共预算基本支出经济分类情况表</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9. 2019年度一般公共预算“三公”经费支出预算表</w:t>
            </w:r>
          </w:p>
        </w:tc>
      </w:tr>
      <w:tr>
        <w:tblPrEx>
          <w:tblCellMar>
            <w:top w:w="0" w:type="dxa"/>
            <w:left w:w="108" w:type="dxa"/>
            <w:bottom w:w="0" w:type="dxa"/>
            <w:right w:w="108" w:type="dxa"/>
          </w:tblCellMar>
        </w:tblPrEx>
        <w:trPr>
          <w:gridAfter w:val="5"/>
          <w:wAfter w:w="10450" w:type="dxa"/>
          <w:trHeight w:val="405" w:hRule="atLeast"/>
        </w:trPr>
        <w:tc>
          <w:tcPr>
            <w:tcW w:w="8336" w:type="dxa"/>
            <w:gridSpan w:val="4"/>
            <w:tcBorders>
              <w:top w:val="nil"/>
              <w:left w:val="nil"/>
              <w:bottom w:val="nil"/>
              <w:right w:val="nil"/>
            </w:tcBorders>
            <w:shd w:val="clear" w:color="auto" w:fill="auto"/>
            <w:noWrap/>
            <w:vAlign w:val="bottom"/>
          </w:tcPr>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10. 2019年度部门专项资金管理清单目录</w:t>
            </w:r>
          </w:p>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11.部门专项（一次性项目）绩效目标批复表</w:t>
            </w:r>
          </w:p>
          <w:p>
            <w:pPr>
              <w:widowControl/>
              <w:jc w:val="left"/>
              <w:rPr>
                <w:rFonts w:ascii="宋体" w:hAnsi="宋体" w:eastAsia="宋体" w:cs="宋体"/>
                <w:kern w:val="0"/>
                <w:sz w:val="32"/>
                <w:szCs w:val="32"/>
              </w:rPr>
            </w:pPr>
            <w:r>
              <w:rPr>
                <w:rFonts w:hint="eastAsia" w:ascii="宋体" w:hAnsi="宋体" w:eastAsia="宋体" w:cs="宋体"/>
                <w:kern w:val="0"/>
                <w:sz w:val="32"/>
                <w:szCs w:val="32"/>
              </w:rPr>
              <w:t xml:space="preserve">          12.经常性专项业务费绩效目标批复表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0E5AE7"/>
    <w:multiLevelType w:val="singleLevel"/>
    <w:tmpl w:val="6E0E5AE7"/>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369A"/>
    <w:rsid w:val="00014912"/>
    <w:rsid w:val="00022833"/>
    <w:rsid w:val="0006798C"/>
    <w:rsid w:val="000D13E6"/>
    <w:rsid w:val="000D2A85"/>
    <w:rsid w:val="000F7A93"/>
    <w:rsid w:val="00107E86"/>
    <w:rsid w:val="001112EC"/>
    <w:rsid w:val="00272847"/>
    <w:rsid w:val="0028418E"/>
    <w:rsid w:val="002A65FE"/>
    <w:rsid w:val="00394BF5"/>
    <w:rsid w:val="003E59E1"/>
    <w:rsid w:val="00444F4E"/>
    <w:rsid w:val="0050369A"/>
    <w:rsid w:val="0051072C"/>
    <w:rsid w:val="00533623"/>
    <w:rsid w:val="005825CA"/>
    <w:rsid w:val="00680D41"/>
    <w:rsid w:val="006B68B8"/>
    <w:rsid w:val="007F639F"/>
    <w:rsid w:val="00855D81"/>
    <w:rsid w:val="008A2A4B"/>
    <w:rsid w:val="008B0365"/>
    <w:rsid w:val="00997FD3"/>
    <w:rsid w:val="00AC6732"/>
    <w:rsid w:val="00AD0DFE"/>
    <w:rsid w:val="00BC3FF0"/>
    <w:rsid w:val="00C35A3B"/>
    <w:rsid w:val="00CF20FF"/>
    <w:rsid w:val="00D749F1"/>
    <w:rsid w:val="00E2573A"/>
    <w:rsid w:val="00E551A0"/>
    <w:rsid w:val="00F55E95"/>
    <w:rsid w:val="00F67FAB"/>
    <w:rsid w:val="00FC4E46"/>
    <w:rsid w:val="00FC6FF2"/>
    <w:rsid w:val="117E3600"/>
    <w:rsid w:val="5154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Char Char Char Char"/>
    <w:basedOn w:val="1"/>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216B1-76C2-424C-866B-048D6DEFBE8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725</Words>
  <Characters>4134</Characters>
  <Lines>34</Lines>
  <Paragraphs>9</Paragraphs>
  <TotalTime>7</TotalTime>
  <ScaleCrop>false</ScaleCrop>
  <LinksUpToDate>false</LinksUpToDate>
  <CharactersWithSpaces>4850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2019-02-11T08:30:00Z</dcterms:created>
  <dc:creator>hp</dc:creator>
  <cp:lastModifiedBy>hp</cp:lastModifiedBy>
  <cp:lastPrinted>2019-02-12T06:59:00Z</cp:lastPrinted>
  <dcterms:modified xsi:type="dcterms:W3CDTF">2020-03-31T01:47:15Z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